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9" w:afterLines="50"/>
        <w:jc w:val="center"/>
        <w:rPr>
          <w:rFonts w:hint="eastAsia" w:ascii="仿宋" w:hAnsi="仿宋" w:eastAsia="仿宋" w:cs="仿宋"/>
          <w:b/>
          <w:bCs/>
          <w:color w:val="333333"/>
          <w:sz w:val="32"/>
          <w:szCs w:val="32"/>
          <w:shd w:val="clear" w:color="auto" w:fill="FFFFFF"/>
          <w:lang w:val="en-US" w:eastAsia="zh-CN"/>
        </w:rPr>
      </w:pPr>
      <w:r>
        <w:rPr>
          <w:rFonts w:hint="eastAsia" w:ascii="仿宋" w:hAnsi="仿宋" w:eastAsia="仿宋" w:cs="仿宋"/>
          <w:b/>
          <w:bCs/>
          <w:color w:val="333333"/>
          <w:sz w:val="32"/>
          <w:szCs w:val="32"/>
          <w:shd w:val="clear" w:color="auto" w:fill="FFFFFF"/>
        </w:rPr>
        <w:t>附件</w:t>
      </w:r>
      <w:r>
        <w:rPr>
          <w:rFonts w:hint="eastAsia" w:ascii="仿宋" w:hAnsi="仿宋" w:eastAsia="仿宋" w:cs="仿宋"/>
          <w:b/>
          <w:bCs/>
          <w:color w:val="333333"/>
          <w:sz w:val="32"/>
          <w:szCs w:val="32"/>
          <w:shd w:val="clear" w:color="auto" w:fill="FFFFFF"/>
          <w:lang w:val="en-US" w:eastAsia="zh-CN"/>
        </w:rPr>
        <w:t>1</w:t>
      </w:r>
      <w:r>
        <w:rPr>
          <w:rFonts w:hint="eastAsia" w:ascii="仿宋" w:hAnsi="仿宋" w:eastAsia="仿宋" w:cs="仿宋"/>
          <w:b/>
          <w:bCs/>
          <w:color w:val="333333"/>
          <w:sz w:val="32"/>
          <w:szCs w:val="32"/>
          <w:shd w:val="clear" w:color="auto" w:fill="FFFFFF"/>
        </w:rPr>
        <w:t>：旧版</w:t>
      </w:r>
      <w:r>
        <w:rPr>
          <w:rFonts w:hint="eastAsia" w:ascii="仿宋" w:hAnsi="仿宋" w:eastAsia="仿宋" w:cs="仿宋"/>
          <w:b/>
          <w:bCs/>
          <w:color w:val="333333"/>
          <w:sz w:val="32"/>
          <w:szCs w:val="32"/>
          <w:shd w:val="clear" w:color="auto" w:fill="FFFFFF"/>
          <w:lang w:val="en-US" w:eastAsia="zh-CN"/>
        </w:rPr>
        <w:t>标准GB 19762-2007、GB 32284-2015</w:t>
      </w:r>
      <w:r>
        <w:rPr>
          <w:rFonts w:hint="eastAsia" w:ascii="仿宋" w:hAnsi="仿宋" w:eastAsia="仿宋" w:cs="仿宋"/>
          <w:b/>
          <w:bCs/>
          <w:sz w:val="32"/>
          <w:szCs w:val="32"/>
        </w:rPr>
        <w:t>与新版</w:t>
      </w:r>
      <w:r>
        <w:rPr>
          <w:rFonts w:hint="eastAsia" w:ascii="仿宋" w:hAnsi="仿宋" w:eastAsia="仿宋" w:cs="仿宋"/>
          <w:b/>
          <w:bCs/>
          <w:sz w:val="32"/>
          <w:szCs w:val="32"/>
          <w:lang w:val="en-US" w:eastAsia="zh-CN"/>
        </w:rPr>
        <w:t>标准</w:t>
      </w:r>
      <w:r>
        <w:rPr>
          <w:rFonts w:hint="eastAsia" w:ascii="仿宋" w:hAnsi="仿宋" w:eastAsia="仿宋" w:cs="仿宋"/>
          <w:b/>
          <w:bCs/>
          <w:color w:val="333333"/>
          <w:sz w:val="32"/>
          <w:szCs w:val="32"/>
          <w:shd w:val="clear" w:color="auto" w:fill="FFFFFF"/>
          <w:lang w:val="en-US" w:eastAsia="zh-CN"/>
        </w:rPr>
        <w:t>GB 19762-2025</w:t>
      </w:r>
    </w:p>
    <w:p>
      <w:pPr>
        <w:spacing w:after="159" w:afterLines="50"/>
        <w:jc w:val="center"/>
        <w:rPr>
          <w:rFonts w:hint="eastAsia" w:ascii="仿宋" w:hAnsi="仿宋" w:eastAsia="仿宋" w:cs="仿宋"/>
          <w:b/>
          <w:bCs/>
          <w:sz w:val="32"/>
          <w:szCs w:val="32"/>
        </w:rPr>
      </w:pPr>
      <w:r>
        <w:rPr>
          <w:rFonts w:hint="eastAsia" w:ascii="仿宋" w:hAnsi="仿宋" w:eastAsia="仿宋" w:cs="仿宋"/>
          <w:b/>
          <w:bCs/>
          <w:sz w:val="32"/>
          <w:szCs w:val="32"/>
        </w:rPr>
        <w:t>主要差异和补充试验要求</w:t>
      </w:r>
    </w:p>
    <w:tbl>
      <w:tblPr>
        <w:tblStyle w:val="7"/>
        <w:tblW w:w="53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52"/>
        <w:gridCol w:w="4979"/>
        <w:gridCol w:w="5105"/>
        <w:gridCol w:w="3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236" w:type="pct"/>
            <w:shd w:val="clear" w:color="auto" w:fill="F1F1F1" w:themeFill="background1" w:themeFillShade="F2"/>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序号</w:t>
            </w:r>
          </w:p>
        </w:tc>
        <w:tc>
          <w:tcPr>
            <w:tcW w:w="383" w:type="pct"/>
            <w:shd w:val="clear" w:color="auto" w:fill="F1F1F1" w:themeFill="background1" w:themeFillShade="F2"/>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新标准</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章节</w:t>
            </w:r>
          </w:p>
        </w:tc>
        <w:tc>
          <w:tcPr>
            <w:tcW w:w="1655" w:type="pct"/>
            <w:shd w:val="clear" w:color="auto" w:fill="F1F1F1" w:themeFill="background1" w:themeFillShade="F2"/>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333333"/>
                <w:sz w:val="24"/>
                <w:szCs w:val="24"/>
                <w:shd w:val="clear" w:color="auto" w:fill="FFFFFF"/>
              </w:rPr>
              <w:t>旧版</w:t>
            </w:r>
            <w:r>
              <w:rPr>
                <w:rFonts w:hint="eastAsia" w:ascii="仿宋" w:hAnsi="仿宋" w:eastAsia="仿宋" w:cs="仿宋"/>
                <w:color w:val="333333"/>
                <w:sz w:val="24"/>
                <w:szCs w:val="24"/>
                <w:shd w:val="clear" w:color="auto" w:fill="FFFFFF"/>
                <w:lang w:val="en-US" w:eastAsia="zh-CN"/>
              </w:rPr>
              <w:t>GB 19762-2007、GB 32284-2015</w:t>
            </w:r>
          </w:p>
        </w:tc>
        <w:tc>
          <w:tcPr>
            <w:tcW w:w="1697" w:type="pct"/>
            <w:shd w:val="clear" w:color="auto" w:fill="F1F1F1" w:themeFill="background1" w:themeFillShade="F2"/>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新版</w:t>
            </w:r>
            <w:r>
              <w:rPr>
                <w:rFonts w:hint="eastAsia" w:ascii="仿宋" w:hAnsi="仿宋" w:eastAsia="仿宋" w:cs="仿宋"/>
                <w:color w:val="333333"/>
                <w:sz w:val="24"/>
                <w:szCs w:val="24"/>
                <w:shd w:val="clear" w:color="auto" w:fill="FFFFFF"/>
                <w:lang w:val="en-US" w:eastAsia="zh-CN"/>
              </w:rPr>
              <w:t>GB 19762-2025</w:t>
            </w:r>
          </w:p>
        </w:tc>
        <w:tc>
          <w:tcPr>
            <w:tcW w:w="1028" w:type="pct"/>
            <w:shd w:val="clear" w:color="auto" w:fill="F1F1F1" w:themeFill="background1" w:themeFillShade="F2"/>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是否</w:t>
            </w: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补充试验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5" w:hRule="atLeast"/>
          <w:jc w:val="center"/>
        </w:trPr>
        <w:tc>
          <w:tcPr>
            <w:tcW w:w="236" w:type="pct"/>
            <w:vAlign w:val="center"/>
          </w:tcPr>
          <w:p>
            <w:pPr>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w:t>
            </w:r>
          </w:p>
        </w:tc>
        <w:tc>
          <w:tcPr>
            <w:tcW w:w="383" w:type="pct"/>
            <w:vAlign w:val="center"/>
          </w:tcPr>
          <w:p>
            <w:pPr>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w:t>
            </w:r>
          </w:p>
          <w:p>
            <w:pPr>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范围</w:t>
            </w:r>
          </w:p>
        </w:tc>
        <w:tc>
          <w:tcPr>
            <w:tcW w:w="1655" w:type="pct"/>
            <w:vAlign w:val="center"/>
          </w:tcPr>
          <w:p>
            <w:pPr>
              <w:pStyle w:val="11"/>
              <w:tabs>
                <w:tab w:val="center" w:pos="4201"/>
                <w:tab w:val="right" w:leader="dot" w:pos="9298"/>
              </w:tabs>
              <w:ind w:left="0" w:leftChars="0" w:firstLine="0" w:firstLineChars="0"/>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GB 19762-2007：本标准适用于单级单吸清水离心泵、单级双吸清水离心泵、多级清水离心泵。</w:t>
            </w:r>
          </w:p>
          <w:p>
            <w:pPr>
              <w:pStyle w:val="11"/>
              <w:tabs>
                <w:tab w:val="center" w:pos="4201"/>
                <w:tab w:val="right" w:leader="dot" w:pos="9298"/>
              </w:tabs>
              <w:ind w:left="0" w:leftChars="0" w:firstLine="0" w:firstLineChars="0"/>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本标准不适用于其他类型泵。</w:t>
            </w:r>
          </w:p>
          <w:p>
            <w:pPr>
              <w:pStyle w:val="11"/>
              <w:tabs>
                <w:tab w:val="center" w:pos="4201"/>
                <w:tab w:val="right" w:leader="dot" w:pos="9298"/>
              </w:tabs>
              <w:ind w:left="0" w:leftChars="0" w:firstLine="0" w:firstLineChars="0"/>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GB 32284-2015：本标准适用于输送洁净液体、安装闭式(最大)叶轮的单级单吸泵和单级双吸泵。</w:t>
            </w:r>
          </w:p>
          <w:p>
            <w:pPr>
              <w:pStyle w:val="11"/>
              <w:tabs>
                <w:tab w:val="center" w:pos="4201"/>
                <w:tab w:val="right" w:leader="dot" w:pos="9298"/>
              </w:tabs>
              <w:ind w:left="0" w:leftChars="0" w:firstLine="0" w:firstLineChars="0"/>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本标准不适用于清水离心泵、非金属离心泵和无轴封回转动力泵。</w:t>
            </w:r>
          </w:p>
        </w:tc>
        <w:tc>
          <w:tcPr>
            <w:tcW w:w="1697" w:type="pct"/>
            <w:vAlign w:val="center"/>
          </w:tcPr>
          <w:p>
            <w:pPr>
              <w:pStyle w:val="11"/>
              <w:tabs>
                <w:tab w:val="center" w:pos="4201"/>
                <w:tab w:val="right" w:leader="dot" w:pos="9298"/>
              </w:tabs>
              <w:ind w:left="0" w:leftChars="0" w:firstLine="0" w:firstLineChars="0"/>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本文件适用于:</w:t>
            </w:r>
          </w:p>
          <w:p>
            <w:pPr>
              <w:pStyle w:val="11"/>
              <w:tabs>
                <w:tab w:val="center" w:pos="4201"/>
                <w:tab w:val="right" w:leader="dot" w:pos="9298"/>
              </w:tabs>
              <w:ind w:left="0" w:leftChars="0" w:firstLine="0" w:firstLineChars="0"/>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a）单级单吸清水离心泵、单级双吸清水离心泵、管道清水离心泵、多级清水离心泵、轻型多级清水离心泵;</w:t>
            </w:r>
          </w:p>
          <w:p>
            <w:pPr>
              <w:pStyle w:val="11"/>
              <w:tabs>
                <w:tab w:val="center" w:pos="4201"/>
                <w:tab w:val="right" w:leader="dot" w:pos="9298"/>
              </w:tabs>
              <w:ind w:left="0" w:leftChars="0" w:firstLine="0" w:firstLineChars="0"/>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b）输送洁净液体、安装闭式叶轮的单级单吸石油化工离心泵、单级双吸石油化工离心泵和多级石油化工离心泵。</w:t>
            </w:r>
          </w:p>
          <w:p>
            <w:pPr>
              <w:pStyle w:val="11"/>
              <w:tabs>
                <w:tab w:val="center" w:pos="4201"/>
                <w:tab w:val="right" w:leader="dot" w:pos="9298"/>
              </w:tabs>
              <w:ind w:left="0" w:leftChars="0" w:firstLine="0" w:firstLineChars="0"/>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本文件不适用于非金属离心泵和无轴封回转动力泵，</w:t>
            </w:r>
          </w:p>
        </w:tc>
        <w:tc>
          <w:tcPr>
            <w:tcW w:w="1028" w:type="pct"/>
            <w:vAlign w:val="center"/>
          </w:tcPr>
          <w:p>
            <w:pPr>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5" w:hRule="atLeast"/>
          <w:jc w:val="center"/>
        </w:trPr>
        <w:tc>
          <w:tcPr>
            <w:tcW w:w="236" w:type="pct"/>
            <w:vAlign w:val="center"/>
          </w:tcPr>
          <w:p>
            <w:pPr>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w:t>
            </w:r>
          </w:p>
        </w:tc>
        <w:tc>
          <w:tcPr>
            <w:tcW w:w="383" w:type="pct"/>
            <w:vAlign w:val="center"/>
          </w:tcPr>
          <w:p>
            <w:pPr>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3.1</w:t>
            </w:r>
          </w:p>
          <w:p>
            <w:pPr>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规定点的定义</w:t>
            </w:r>
          </w:p>
        </w:tc>
        <w:tc>
          <w:tcPr>
            <w:tcW w:w="1655" w:type="pct"/>
            <w:vAlign w:val="center"/>
          </w:tcPr>
          <w:p>
            <w:pPr>
              <w:pStyle w:val="11"/>
              <w:tabs>
                <w:tab w:val="center" w:pos="4201"/>
                <w:tab w:val="right" w:leader="dot" w:pos="9298"/>
              </w:tabs>
              <w:ind w:left="0" w:leftChars="0" w:firstLine="0" w:firstLineChars="0"/>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GB 19762-2007：性能曲线上由规定流量和规定扬程所确定的点。</w:t>
            </w:r>
          </w:p>
          <w:p>
            <w:pPr>
              <w:pStyle w:val="11"/>
              <w:tabs>
                <w:tab w:val="center" w:pos="4201"/>
                <w:tab w:val="right" w:leader="dot" w:pos="9298"/>
              </w:tabs>
              <w:ind w:left="0" w:leftChars="0" w:firstLine="0" w:firstLineChars="0"/>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GB 32284-2015：泵性能曲线上由规定流量和规定扬程所确定的点。</w:t>
            </w:r>
          </w:p>
        </w:tc>
        <w:tc>
          <w:tcPr>
            <w:tcW w:w="1697" w:type="pct"/>
            <w:vAlign w:val="center"/>
          </w:tcPr>
          <w:p>
            <w:pPr>
              <w:pStyle w:val="11"/>
              <w:tabs>
                <w:tab w:val="center" w:pos="4201"/>
                <w:tab w:val="right" w:leader="dot" w:pos="9298"/>
              </w:tabs>
              <w:ind w:left="0" w:leftChars="0" w:firstLine="0" w:firstLineChars="0"/>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泵性能曲线上由规定流量和规定扬程所确定的点，注:在进行离心泵能效等级测算时,规定点是指泵全(最大)叶轮直径和泵设计基型转速下的最高效率点所对应的流量和扬程所确定的点</w:t>
            </w:r>
            <w:r>
              <w:rPr>
                <w:rFonts w:hint="eastAsia" w:ascii="仿宋" w:hAnsi="仿宋" w:eastAsia="仿宋" w:cs="仿宋"/>
                <w:b w:val="0"/>
                <w:bCs w:val="0"/>
                <w:color w:val="000000" w:themeColor="text1"/>
                <w:sz w:val="24"/>
                <w:szCs w:val="24"/>
                <w:lang w:eastAsia="zh-CN"/>
                <w14:textFill>
                  <w14:solidFill>
                    <w14:schemeClr w14:val="tx1"/>
                  </w14:solidFill>
                </w14:textFill>
              </w:rPr>
              <w:t>。</w:t>
            </w:r>
          </w:p>
        </w:tc>
        <w:tc>
          <w:tcPr>
            <w:tcW w:w="1028" w:type="pct"/>
            <w:vAlign w:val="center"/>
          </w:tcPr>
          <w:p>
            <w:pPr>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36" w:type="pct"/>
            <w:vAlign w:val="center"/>
          </w:tcPr>
          <w:p>
            <w:pPr>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w:t>
            </w:r>
          </w:p>
        </w:tc>
        <w:tc>
          <w:tcPr>
            <w:tcW w:w="383" w:type="pct"/>
            <w:vAlign w:val="center"/>
          </w:tcPr>
          <w:p>
            <w:pPr>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4</w:t>
            </w:r>
          </w:p>
          <w:p>
            <w:pPr>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能效等级</w:t>
            </w:r>
          </w:p>
        </w:tc>
        <w:tc>
          <w:tcPr>
            <w:tcW w:w="1655" w:type="pct"/>
            <w:vAlign w:val="center"/>
          </w:tcPr>
          <w:p>
            <w:pPr>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GB 19762-2007、GB 32284-2015：未使用能效等级对泵类产品进行能效划分，直接使用泵节能评价值作为节能的评价依据。</w:t>
            </w:r>
          </w:p>
        </w:tc>
        <w:tc>
          <w:tcPr>
            <w:tcW w:w="1697" w:type="pct"/>
            <w:vAlign w:val="center"/>
          </w:tcPr>
          <w:p>
            <w:pPr>
              <w:jc w:val="both"/>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能效等级划分为3级，其中1级能效最高。</w:t>
            </w:r>
          </w:p>
        </w:tc>
        <w:tc>
          <w:tcPr>
            <w:tcW w:w="1028" w:type="pct"/>
            <w:vAlign w:val="center"/>
          </w:tcPr>
          <w:p>
            <w:pPr>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原检测报告数据核查，若不满足新标准能效要求与送样要求，需补送样品按新申请检测。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36" w:type="pct"/>
            <w:vAlign w:val="center"/>
          </w:tcPr>
          <w:p>
            <w:pPr>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4</w:t>
            </w:r>
          </w:p>
        </w:tc>
        <w:tc>
          <w:tcPr>
            <w:tcW w:w="383" w:type="pct"/>
            <w:vMerge w:val="restart"/>
            <w:vAlign w:val="center"/>
          </w:tcPr>
          <w:p>
            <w:pPr>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6</w:t>
            </w:r>
          </w:p>
          <w:p>
            <w:pPr>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计算方法</w:t>
            </w:r>
          </w:p>
        </w:tc>
        <w:tc>
          <w:tcPr>
            <w:tcW w:w="1655" w:type="pct"/>
            <w:vAlign w:val="center"/>
          </w:tcPr>
          <w:p>
            <w:pPr>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GB 19762-2007：能效限定值、目标能效限定值的计算一般基于比转速分类、效率—流量曲线确定（表1、表2、表3、表4、图1、图2、图3、图4）。</w:t>
            </w:r>
          </w:p>
          <w:p>
            <w:pPr>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GB 32284-2015：能效限定值、目标能效限定值的计算一般基于比转速分类、效率—流量曲线确定（表1、表2、表3、图1、图2、图3）。</w:t>
            </w:r>
          </w:p>
        </w:tc>
        <w:tc>
          <w:tcPr>
            <w:tcW w:w="1697" w:type="pct"/>
            <w:vAlign w:val="center"/>
          </w:tcPr>
          <w:p>
            <w:pPr>
              <w:jc w:val="both"/>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清水离心泵的能效基于式（2）、式（3）</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确定，能效等级划分基于</w:t>
            </w:r>
            <w:r>
              <w:rPr>
                <w:rFonts w:hint="eastAsia" w:ascii="仿宋" w:hAnsi="仿宋" w:eastAsia="仿宋" w:cs="仿宋"/>
                <w:b w:val="0"/>
                <w:bCs w:val="0"/>
                <w:color w:val="000000" w:themeColor="text1"/>
                <w:sz w:val="24"/>
                <w:szCs w:val="24"/>
                <w:lang w:val="en-US" w:eastAsia="zh-CN"/>
                <w14:textFill>
                  <w14:solidFill>
                    <w14:schemeClr w14:val="tx1"/>
                  </w14:solidFill>
                </w14:textFill>
              </w:rPr>
              <w:t>式（2）、式（3）中C的取值决定（表3），其中C</w:t>
            </w:r>
            <w:r>
              <w:rPr>
                <w:rFonts w:hint="eastAsia" w:ascii="仿宋" w:hAnsi="仿宋" w:eastAsia="仿宋" w:cs="仿宋"/>
                <w:b w:val="0"/>
                <w:bCs w:val="0"/>
                <w:color w:val="000000" w:themeColor="text1"/>
                <w:sz w:val="24"/>
                <w:szCs w:val="24"/>
                <w:vertAlign w:val="subscript"/>
                <w:lang w:val="en-US" w:eastAsia="zh-CN"/>
                <w14:textFill>
                  <w14:solidFill>
                    <w14:schemeClr w14:val="tx1"/>
                  </w14:solidFill>
                </w14:textFill>
              </w:rPr>
              <w:t>1</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为1级、C</w:t>
            </w:r>
            <w:r>
              <w:rPr>
                <w:rFonts w:hint="eastAsia" w:ascii="仿宋" w:hAnsi="仿宋" w:eastAsia="仿宋" w:cs="仿宋"/>
                <w:b w:val="0"/>
                <w:bCs w:val="0"/>
                <w:color w:val="000000" w:themeColor="text1"/>
                <w:sz w:val="24"/>
                <w:szCs w:val="24"/>
                <w:vertAlign w:val="subscript"/>
                <w:lang w:val="en-US" w:eastAsia="zh-CN"/>
                <w14:textFill>
                  <w14:solidFill>
                    <w14:schemeClr w14:val="tx1"/>
                  </w14:solidFill>
                </w14:textFill>
              </w:rPr>
              <w:t>2</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对应2级、C</w:t>
            </w:r>
            <w:r>
              <w:rPr>
                <w:rFonts w:hint="eastAsia" w:ascii="仿宋" w:hAnsi="仿宋" w:eastAsia="仿宋" w:cs="仿宋"/>
                <w:b w:val="0"/>
                <w:bCs w:val="0"/>
                <w:color w:val="000000" w:themeColor="text1"/>
                <w:sz w:val="24"/>
                <w:szCs w:val="24"/>
                <w:vertAlign w:val="subscript"/>
                <w:lang w:val="en-US" w:eastAsia="zh-CN"/>
                <w14:textFill>
                  <w14:solidFill>
                    <w14:schemeClr w14:val="tx1"/>
                  </w14:solidFill>
                </w14:textFill>
              </w:rPr>
              <w:t>3</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对应3级。</w:t>
            </w:r>
            <w:r>
              <w:rPr>
                <w:rFonts w:hint="eastAsia" w:ascii="仿宋" w:hAnsi="仿宋" w:eastAsia="仿宋" w:cs="仿宋"/>
                <w:b w:val="0"/>
                <w:bCs w:val="0"/>
                <w:color w:val="000000" w:themeColor="text1"/>
                <w:sz w:val="24"/>
                <w:szCs w:val="24"/>
                <w:lang w:val="en-US" w:eastAsia="zh-CN"/>
                <w14:textFill>
                  <w14:solidFill>
                    <w14:schemeClr w14:val="tx1"/>
                  </w14:solidFill>
                </w14:textFill>
              </w:rPr>
              <w:t>清水离心泵基于</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表1确定能效等级，其中3级为能效限定值。</w:t>
            </w:r>
          </w:p>
          <w:p>
            <w:pPr>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石油化工离心泵基于式（4）、式（5）确定</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能效基准值，</w:t>
            </w:r>
            <w:r>
              <w:rPr>
                <w:rFonts w:hint="eastAsia" w:ascii="仿宋" w:hAnsi="仿宋" w:eastAsia="仿宋" w:cs="仿宋"/>
                <w:b w:val="0"/>
                <w:bCs w:val="0"/>
                <w:color w:val="000000" w:themeColor="text1"/>
                <w:sz w:val="24"/>
                <w:szCs w:val="24"/>
                <w:lang w:val="en-US" w:eastAsia="zh-CN"/>
                <w14:textFill>
                  <w14:solidFill>
                    <w14:schemeClr w14:val="tx1"/>
                  </w14:solidFill>
                </w14:textFill>
              </w:rPr>
              <w:t>式（6）、式（7）确定效率</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修正值。</w:t>
            </w:r>
            <w:r>
              <w:rPr>
                <w:rFonts w:hint="eastAsia" w:ascii="仿宋" w:hAnsi="仿宋" w:eastAsia="仿宋" w:cs="仿宋"/>
                <w:b w:val="0"/>
                <w:bCs w:val="0"/>
                <w:color w:val="000000" w:themeColor="text1"/>
                <w:sz w:val="24"/>
                <w:szCs w:val="24"/>
                <w:lang w:val="en-US" w:eastAsia="zh-CN"/>
                <w14:textFill>
                  <w14:solidFill>
                    <w14:schemeClr w14:val="tx1"/>
                  </w14:solidFill>
                </w14:textFill>
              </w:rPr>
              <w:t>石油化工离心泵基于</w:t>
            </w: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表2确定能效等级，其中3级为能效限定值。</w:t>
            </w:r>
          </w:p>
        </w:tc>
        <w:tc>
          <w:tcPr>
            <w:tcW w:w="1028" w:type="pct"/>
            <w:vAlign w:val="center"/>
          </w:tcPr>
          <w:p>
            <w:pPr>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236" w:type="pct"/>
            <w:vAlign w:val="center"/>
          </w:tcPr>
          <w:p>
            <w:pPr>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5</w:t>
            </w:r>
          </w:p>
        </w:tc>
        <w:tc>
          <w:tcPr>
            <w:tcW w:w="383" w:type="pct"/>
            <w:vMerge w:val="continue"/>
            <w:tcBorders/>
            <w:vAlign w:val="center"/>
          </w:tcPr>
          <w:p>
            <w:pPr>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p>
        </w:tc>
        <w:tc>
          <w:tcPr>
            <w:tcW w:w="1655" w:type="pct"/>
            <w:vAlign w:val="center"/>
          </w:tcPr>
          <w:p>
            <w:pPr>
              <w:jc w:val="both"/>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GB 19762-2007、GB 32284-2015：泵效率计算为性能测试规定点效率计算，一般为标称规定点效率测算。</w:t>
            </w:r>
          </w:p>
        </w:tc>
        <w:tc>
          <w:tcPr>
            <w:tcW w:w="1697" w:type="pct"/>
            <w:vAlign w:val="center"/>
          </w:tcPr>
          <w:p>
            <w:pPr>
              <w:jc w:val="both"/>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 xml:space="preserve">泵效率计算是以最高效率点的转速、叶轮入口的流量和最大叶轮直径时的单级扬程来计算的。 </w:t>
            </w:r>
          </w:p>
        </w:tc>
        <w:tc>
          <w:tcPr>
            <w:tcW w:w="1028" w:type="pct"/>
            <w:vAlign w:val="center"/>
          </w:tcPr>
          <w:p>
            <w:pPr>
              <w:jc w:val="center"/>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w:t>
            </w:r>
          </w:p>
        </w:tc>
      </w:tr>
    </w:tbl>
    <w:p>
      <w:bookmarkStart w:id="0" w:name="_GoBack"/>
      <w:bookmarkEnd w:id="0"/>
    </w:p>
    <w:sectPr>
      <w:pgSz w:w="16838" w:h="11906" w:orient="landscape"/>
      <w:pgMar w:top="1803" w:right="1440" w:bottom="1803" w:left="1440" w:header="851" w:footer="992" w:gutter="0"/>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4"/>
      <w:suff w:val="nothing"/>
      <w:lvlText w:val="注%1："/>
      <w:lvlJc w:val="left"/>
      <w:pPr>
        <w:ind w:left="811" w:hanging="448"/>
      </w:pPr>
      <w:rPr>
        <w:rFonts w:ascii="黑体" w:hAnsi="黑体" w:eastAsia="黑体" w:cs="Times New Roman"/>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1DBF583A"/>
    <w:multiLevelType w:val="multilevel"/>
    <w:tmpl w:val="1DBF583A"/>
    <w:lvl w:ilvl="0" w:tentative="0">
      <w:start w:val="1"/>
      <w:numFmt w:val="decimal"/>
      <w:pStyle w:val="15"/>
      <w:suff w:val="nothing"/>
      <w:lvlText w:val="注%1："/>
      <w:lvlJc w:val="left"/>
      <w:pPr>
        <w:ind w:left="811" w:hanging="448"/>
      </w:pPr>
      <w:rPr>
        <w:rFonts w:hint="eastAsia" w:ascii="黑体" w:hAnsi="黑体" w:eastAsia="黑体"/>
        <w:b w:val="0"/>
        <w:i w:val="0"/>
        <w:sz w:val="18"/>
        <w:szCs w:val="18"/>
        <w:vertAlign w:val="baseline"/>
      </w:rPr>
    </w:lvl>
    <w:lvl w:ilvl="1" w:tentative="0">
      <w:start w:val="1"/>
      <w:numFmt w:val="lowerLetter"/>
      <w:lvlText w:val="%2)"/>
      <w:lvlJc w:val="left"/>
      <w:pPr>
        <w:tabs>
          <w:tab w:val="left" w:pos="181"/>
        </w:tabs>
        <w:ind w:left="1174" w:hanging="630"/>
      </w:pPr>
      <w:rPr>
        <w:rFonts w:hint="eastAsia"/>
        <w:vertAlign w:val="baseline"/>
      </w:rPr>
    </w:lvl>
    <w:lvl w:ilvl="2" w:tentative="0">
      <w:start w:val="1"/>
      <w:numFmt w:val="lowerRoman"/>
      <w:lvlText w:val="%3."/>
      <w:lvlJc w:val="right"/>
      <w:pPr>
        <w:tabs>
          <w:tab w:val="left" w:pos="181"/>
        </w:tabs>
        <w:ind w:left="1174" w:hanging="630"/>
      </w:pPr>
      <w:rPr>
        <w:rFonts w:hint="eastAsia"/>
        <w:vertAlign w:val="baseline"/>
      </w:rPr>
    </w:lvl>
    <w:lvl w:ilvl="3" w:tentative="0">
      <w:start w:val="1"/>
      <w:numFmt w:val="decimal"/>
      <w:lvlText w:val="%4."/>
      <w:lvlJc w:val="left"/>
      <w:pPr>
        <w:tabs>
          <w:tab w:val="left" w:pos="181"/>
        </w:tabs>
        <w:ind w:left="1174" w:hanging="630"/>
      </w:pPr>
      <w:rPr>
        <w:rFonts w:hint="eastAsia"/>
        <w:vertAlign w:val="baseline"/>
      </w:rPr>
    </w:lvl>
    <w:lvl w:ilvl="4" w:tentative="0">
      <w:start w:val="1"/>
      <w:numFmt w:val="lowerLetter"/>
      <w:lvlText w:val="%5)"/>
      <w:lvlJc w:val="left"/>
      <w:pPr>
        <w:tabs>
          <w:tab w:val="left" w:pos="181"/>
        </w:tabs>
        <w:ind w:left="1174" w:hanging="630"/>
      </w:pPr>
      <w:rPr>
        <w:rFonts w:hint="eastAsia"/>
        <w:vertAlign w:val="baseline"/>
      </w:rPr>
    </w:lvl>
    <w:lvl w:ilvl="5" w:tentative="0">
      <w:start w:val="1"/>
      <w:numFmt w:val="lowerRoman"/>
      <w:lvlText w:val="%6."/>
      <w:lvlJc w:val="right"/>
      <w:pPr>
        <w:tabs>
          <w:tab w:val="left" w:pos="181"/>
        </w:tabs>
        <w:ind w:left="1174" w:hanging="630"/>
      </w:pPr>
      <w:rPr>
        <w:rFonts w:hint="eastAsia"/>
        <w:vertAlign w:val="baseline"/>
      </w:rPr>
    </w:lvl>
    <w:lvl w:ilvl="6" w:tentative="0">
      <w:start w:val="1"/>
      <w:numFmt w:val="decimal"/>
      <w:lvlText w:val="%7."/>
      <w:lvlJc w:val="left"/>
      <w:pPr>
        <w:tabs>
          <w:tab w:val="left" w:pos="181"/>
        </w:tabs>
        <w:ind w:left="1174" w:hanging="630"/>
      </w:pPr>
      <w:rPr>
        <w:rFonts w:hint="eastAsia"/>
        <w:vertAlign w:val="baseline"/>
      </w:rPr>
    </w:lvl>
    <w:lvl w:ilvl="7" w:tentative="0">
      <w:start w:val="1"/>
      <w:numFmt w:val="lowerLetter"/>
      <w:lvlText w:val="%8)"/>
      <w:lvlJc w:val="left"/>
      <w:pPr>
        <w:tabs>
          <w:tab w:val="left" w:pos="181"/>
        </w:tabs>
        <w:ind w:left="1174" w:hanging="630"/>
      </w:pPr>
      <w:rPr>
        <w:rFonts w:hint="eastAsia"/>
        <w:vertAlign w:val="baseline"/>
      </w:rPr>
    </w:lvl>
    <w:lvl w:ilvl="8" w:tentative="0">
      <w:start w:val="1"/>
      <w:numFmt w:val="lowerRoman"/>
      <w:lvlText w:val="%9."/>
      <w:lvlJc w:val="right"/>
      <w:pPr>
        <w:tabs>
          <w:tab w:val="left" w:pos="181"/>
        </w:tabs>
        <w:ind w:left="1174" w:hanging="630"/>
      </w:pPr>
      <w:rPr>
        <w:rFonts w:hint="eastAsia"/>
        <w:vertAlign w:val="baseline"/>
      </w:rPr>
    </w:lvl>
  </w:abstractNum>
  <w:abstractNum w:abstractNumId="2">
    <w:nsid w:val="6DBF04F4"/>
    <w:multiLevelType w:val="multilevel"/>
    <w:tmpl w:val="6DBF04F4"/>
    <w:lvl w:ilvl="0" w:tentative="0">
      <w:start w:val="1"/>
      <w:numFmt w:val="none"/>
      <w:pStyle w:val="1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0MzEyNzU4Mzk2YzMzYmIyYjBkZTdkZWFlMzg2NmIifQ=="/>
  </w:docVars>
  <w:rsids>
    <w:rsidRoot w:val="118B1298"/>
    <w:rsid w:val="00106D14"/>
    <w:rsid w:val="001C4436"/>
    <w:rsid w:val="00213038"/>
    <w:rsid w:val="00274215"/>
    <w:rsid w:val="00286A70"/>
    <w:rsid w:val="003416C8"/>
    <w:rsid w:val="003479FB"/>
    <w:rsid w:val="00381662"/>
    <w:rsid w:val="003F4C4F"/>
    <w:rsid w:val="004B1164"/>
    <w:rsid w:val="004C3269"/>
    <w:rsid w:val="004E3BA0"/>
    <w:rsid w:val="004F3462"/>
    <w:rsid w:val="00531532"/>
    <w:rsid w:val="005858F1"/>
    <w:rsid w:val="00597F08"/>
    <w:rsid w:val="00640A61"/>
    <w:rsid w:val="00643D7B"/>
    <w:rsid w:val="0067343B"/>
    <w:rsid w:val="007862D4"/>
    <w:rsid w:val="0078689F"/>
    <w:rsid w:val="007F400A"/>
    <w:rsid w:val="007F411B"/>
    <w:rsid w:val="007F7460"/>
    <w:rsid w:val="00812131"/>
    <w:rsid w:val="00892FD9"/>
    <w:rsid w:val="008F4B34"/>
    <w:rsid w:val="00951F43"/>
    <w:rsid w:val="009A335A"/>
    <w:rsid w:val="00A10FEC"/>
    <w:rsid w:val="00A137B6"/>
    <w:rsid w:val="00B32A98"/>
    <w:rsid w:val="00B615D4"/>
    <w:rsid w:val="00B84E27"/>
    <w:rsid w:val="00BB0C00"/>
    <w:rsid w:val="00BC56A6"/>
    <w:rsid w:val="00C47E78"/>
    <w:rsid w:val="00CD064A"/>
    <w:rsid w:val="00CD5EA9"/>
    <w:rsid w:val="00CE0B8E"/>
    <w:rsid w:val="00DC1A0C"/>
    <w:rsid w:val="00DD6C2C"/>
    <w:rsid w:val="00E73267"/>
    <w:rsid w:val="00EA00D4"/>
    <w:rsid w:val="00EA5571"/>
    <w:rsid w:val="00F21DAA"/>
    <w:rsid w:val="00F530E6"/>
    <w:rsid w:val="00FF5E7E"/>
    <w:rsid w:val="03BB7FBE"/>
    <w:rsid w:val="06434462"/>
    <w:rsid w:val="0F306992"/>
    <w:rsid w:val="11853416"/>
    <w:rsid w:val="118B1298"/>
    <w:rsid w:val="139D78C4"/>
    <w:rsid w:val="146D1091"/>
    <w:rsid w:val="1B4C0BC1"/>
    <w:rsid w:val="1F390CCB"/>
    <w:rsid w:val="21E831A3"/>
    <w:rsid w:val="26993031"/>
    <w:rsid w:val="273D2460"/>
    <w:rsid w:val="2D1177C5"/>
    <w:rsid w:val="33646DE7"/>
    <w:rsid w:val="52117071"/>
    <w:rsid w:val="543842E0"/>
    <w:rsid w:val="55756142"/>
    <w:rsid w:val="5E1812AB"/>
    <w:rsid w:val="5F0725C4"/>
    <w:rsid w:val="5F3D79DD"/>
    <w:rsid w:val="62312A9A"/>
    <w:rsid w:val="659836B6"/>
    <w:rsid w:val="667F78A6"/>
    <w:rsid w:val="681D0932"/>
    <w:rsid w:val="683E1DD2"/>
    <w:rsid w:val="6ACA7BFD"/>
    <w:rsid w:val="71473715"/>
    <w:rsid w:val="71841A6B"/>
    <w:rsid w:val="762A3E8D"/>
    <w:rsid w:val="78EF49DB"/>
    <w:rsid w:val="7A8E70B4"/>
    <w:rsid w:val="7B4D0FEC"/>
    <w:rsid w:val="7F273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0"/>
    <w:pPr>
      <w:jc w:val="left"/>
    </w:pPr>
  </w:style>
  <w:style w:type="paragraph" w:styleId="3">
    <w:name w:val="Balloon Text"/>
    <w:basedOn w:val="1"/>
    <w:link w:val="24"/>
    <w:semiHidden/>
    <w:unhideWhenUsed/>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3"/>
    <w:qFormat/>
    <w:uiPriority w:val="0"/>
    <w:rPr>
      <w:b/>
      <w:bCs/>
    </w:rPr>
  </w:style>
  <w:style w:type="character" w:styleId="9">
    <w:name w:val="annotation reference"/>
    <w:basedOn w:val="8"/>
    <w:qFormat/>
    <w:uiPriority w:val="0"/>
    <w:rPr>
      <w:sz w:val="21"/>
      <w:szCs w:val="21"/>
    </w:rPr>
  </w:style>
  <w:style w:type="paragraph" w:customStyle="1" w:styleId="10">
    <w:name w:val="Default"/>
    <w:unhideWhenUsed/>
    <w:qFormat/>
    <w:uiPriority w:val="0"/>
    <w:pPr>
      <w:widowControl w:val="0"/>
      <w:autoSpaceDE w:val="0"/>
      <w:autoSpaceDN w:val="0"/>
      <w:adjustRightInd w:val="0"/>
    </w:pPr>
    <w:rPr>
      <w:rFonts w:ascii="宋体" w:hAnsi="宋体" w:eastAsia="宋体" w:cs="Times New Roman"/>
      <w:color w:val="000000"/>
      <w:sz w:val="24"/>
      <w:szCs w:val="24"/>
      <w:lang w:val="en-US" w:eastAsia="zh-CN" w:bidi="ar-SA"/>
    </w:rPr>
  </w:style>
  <w:style w:type="paragraph" w:customStyle="1" w:styleId="11">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12">
    <w:name w:val="注："/>
    <w:next w:val="11"/>
    <w:qFormat/>
    <w:uiPriority w:val="0"/>
    <w:pPr>
      <w:widowControl w:val="0"/>
      <w:numPr>
        <w:ilvl w:val="0"/>
        <w:numId w:val="1"/>
      </w:numPr>
      <w:autoSpaceDE w:val="0"/>
      <w:autoSpaceDN w:val="0"/>
      <w:jc w:val="both"/>
    </w:pPr>
    <w:rPr>
      <w:rFonts w:ascii="宋体" w:hAnsi="Times New Roman" w:eastAsia="宋体" w:cs="Times New Roman"/>
      <w:sz w:val="18"/>
      <w:szCs w:val="18"/>
      <w:lang w:val="en-US" w:eastAsia="zh-CN" w:bidi="ar-SA"/>
    </w:rPr>
  </w:style>
  <w:style w:type="paragraph" w:customStyle="1" w:styleId="13">
    <w:name w:val="注：（正文）"/>
    <w:basedOn w:val="12"/>
    <w:next w:val="11"/>
    <w:qFormat/>
    <w:uiPriority w:val="0"/>
  </w:style>
  <w:style w:type="paragraph" w:customStyle="1" w:styleId="14">
    <w:name w:val="注×："/>
    <w:qFormat/>
    <w:uiPriority w:val="0"/>
    <w:pPr>
      <w:widowControl w:val="0"/>
      <w:numPr>
        <w:ilvl w:val="0"/>
        <w:numId w:val="2"/>
      </w:numPr>
      <w:autoSpaceDE w:val="0"/>
      <w:autoSpaceDN w:val="0"/>
      <w:jc w:val="both"/>
    </w:pPr>
    <w:rPr>
      <w:rFonts w:ascii="黑体" w:hAnsi="Times New Roman" w:eastAsia="宋体" w:cs="Times New Roman"/>
      <w:sz w:val="18"/>
      <w:szCs w:val="18"/>
      <w:lang w:val="en-US" w:eastAsia="zh-CN" w:bidi="ar-SA"/>
    </w:rPr>
  </w:style>
  <w:style w:type="paragraph" w:customStyle="1" w:styleId="15">
    <w:name w:val="注×：（正文）"/>
    <w:qFormat/>
    <w:uiPriority w:val="0"/>
    <w:pPr>
      <w:numPr>
        <w:ilvl w:val="0"/>
        <w:numId w:val="3"/>
      </w:numPr>
      <w:jc w:val="both"/>
    </w:pPr>
    <w:rPr>
      <w:rFonts w:ascii="宋体" w:hAnsi="Times New Roman" w:eastAsia="宋体" w:cs="Times New Roman"/>
      <w:sz w:val="18"/>
      <w:szCs w:val="18"/>
      <w:lang w:val="en-US" w:eastAsia="zh-CN" w:bidi="ar-SA"/>
    </w:rPr>
  </w:style>
  <w:style w:type="paragraph" w:customStyle="1" w:styleId="16">
    <w:name w:val="Body text|1"/>
    <w:basedOn w:val="1"/>
    <w:qFormat/>
    <w:uiPriority w:val="0"/>
    <w:pPr>
      <w:spacing w:line="329" w:lineRule="auto"/>
    </w:pPr>
    <w:rPr>
      <w:rFonts w:ascii="宋体" w:hAnsi="宋体" w:cs="宋体"/>
      <w:sz w:val="20"/>
      <w:lang w:val="zh-TW" w:eastAsia="zh-TW" w:bidi="zh-TW"/>
    </w:rPr>
  </w:style>
  <w:style w:type="paragraph" w:customStyle="1" w:styleId="17">
    <w:name w:val="Body text|3"/>
    <w:basedOn w:val="1"/>
    <w:qFormat/>
    <w:uiPriority w:val="0"/>
    <w:rPr>
      <w:rFonts w:ascii="宋体" w:hAnsi="宋体" w:cs="宋体"/>
      <w:sz w:val="18"/>
      <w:szCs w:val="18"/>
      <w:lang w:val="zh-TW" w:eastAsia="zh-TW" w:bidi="zh-TW"/>
    </w:rPr>
  </w:style>
  <w:style w:type="character" w:customStyle="1" w:styleId="18">
    <w:name w:val="页眉 Char"/>
    <w:basedOn w:val="8"/>
    <w:link w:val="5"/>
    <w:qFormat/>
    <w:uiPriority w:val="0"/>
    <w:rPr>
      <w:rFonts w:ascii="Times New Roman" w:hAnsi="Times New Roman" w:eastAsia="宋体" w:cs="Times New Roman"/>
      <w:kern w:val="2"/>
      <w:sz w:val="18"/>
      <w:szCs w:val="18"/>
    </w:rPr>
  </w:style>
  <w:style w:type="character" w:customStyle="1" w:styleId="19">
    <w:name w:val="页脚 Char"/>
    <w:basedOn w:val="8"/>
    <w:link w:val="4"/>
    <w:qFormat/>
    <w:uiPriority w:val="0"/>
    <w:rPr>
      <w:rFonts w:ascii="Times New Roman" w:hAnsi="Times New Roman" w:eastAsia="宋体" w:cs="Times New Roman"/>
      <w:kern w:val="2"/>
      <w:sz w:val="18"/>
      <w:szCs w:val="18"/>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1">
    <w:name w:val="Revision"/>
    <w:hidden/>
    <w:semiHidden/>
    <w:qFormat/>
    <w:uiPriority w:val="99"/>
    <w:rPr>
      <w:rFonts w:ascii="Times New Roman" w:hAnsi="Times New Roman" w:eastAsia="宋体" w:cs="Times New Roman"/>
      <w:kern w:val="2"/>
      <w:sz w:val="21"/>
      <w:lang w:val="en-US" w:eastAsia="zh-CN" w:bidi="ar-SA"/>
    </w:rPr>
  </w:style>
  <w:style w:type="character" w:customStyle="1" w:styleId="22">
    <w:name w:val="批注文字 Char"/>
    <w:basedOn w:val="8"/>
    <w:link w:val="2"/>
    <w:qFormat/>
    <w:uiPriority w:val="0"/>
    <w:rPr>
      <w:rFonts w:ascii="Times New Roman" w:hAnsi="Times New Roman" w:eastAsia="宋体" w:cs="Times New Roman"/>
      <w:kern w:val="2"/>
      <w:sz w:val="21"/>
    </w:rPr>
  </w:style>
  <w:style w:type="character" w:customStyle="1" w:styleId="23">
    <w:name w:val="批注主题 Char"/>
    <w:basedOn w:val="22"/>
    <w:link w:val="6"/>
    <w:qFormat/>
    <w:uiPriority w:val="0"/>
    <w:rPr>
      <w:rFonts w:ascii="Times New Roman" w:hAnsi="Times New Roman" w:eastAsia="宋体" w:cs="Times New Roman"/>
      <w:b/>
      <w:bCs/>
      <w:kern w:val="2"/>
      <w:sz w:val="21"/>
    </w:rPr>
  </w:style>
  <w:style w:type="character" w:customStyle="1" w:styleId="24">
    <w:name w:val="批注框文本 Char"/>
    <w:basedOn w:val="8"/>
    <w:link w:val="3"/>
    <w:semiHidden/>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CEPRI</Company>
  <Pages>1</Pages>
  <Words>231</Words>
  <Characters>259</Characters>
  <Lines>1</Lines>
  <Paragraphs>1</Paragraphs>
  <TotalTime>1</TotalTime>
  <ScaleCrop>false</ScaleCrop>
  <LinksUpToDate>false</LinksUpToDate>
  <CharactersWithSpaces>261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2024-10-10T07:37:00Z</dcterms:created>
  <dc:creator>86139</dc:creator>
  <cp:lastModifiedBy>Chen Tieyang</cp:lastModifiedBy>
  <dcterms:modified xsi:type="dcterms:W3CDTF">2025-07-23T08:43:41Z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0BDEEDFA627647C193F9148F9BA17B50</vt:lpwstr>
  </property>
  <property fmtid="{D5CDD505-2E9C-101B-9397-08002B2CF9AE}" pid="4" name="KSOSaveFontToCloudKey">
    <vt:lpwstr>590610_btnclosed</vt:lpwstr>
  </property>
  <property fmtid="{D5CDD505-2E9C-101B-9397-08002B2CF9AE}" pid="5" name="KSOTemplateDocerSaveRecord">
    <vt:lpwstr>eyJoZGlkIjoiOTk0ZGE4YWY4NzE0ZjA1MjY0YWM4MDA0NzVkZmNiYmIiLCJ1c2VySWQiOiIyODg1MjQ3NzIifQ==</vt:lpwstr>
  </property>
</Properties>
</file>